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52A78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</w:p>
    <w:p w14:paraId="344B255F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>СИСТЕМА за определяне на резултатите</w:t>
      </w:r>
    </w:p>
    <w:p w14:paraId="41E576F1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 xml:space="preserve"> при провеждането на конкурс за длъжността </w:t>
      </w:r>
    </w:p>
    <w:p w14:paraId="1B10D5B1" w14:textId="0DEDA119" w:rsidR="00B83FB9" w:rsidRPr="00035041" w:rsidRDefault="007A615D" w:rsidP="00B83FB9">
      <w:pPr>
        <w:spacing w:after="0" w:line="240" w:lineRule="auto"/>
        <w:ind w:right="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Главен експерт</w:t>
      </w:r>
      <w:r w:rsidR="007354F1" w:rsidRPr="00035041">
        <w:rPr>
          <w:b/>
          <w:sz w:val="26"/>
          <w:szCs w:val="26"/>
        </w:rPr>
        <w:t xml:space="preserve"> „</w:t>
      </w:r>
      <w:r w:rsidR="00ED4D20">
        <w:rPr>
          <w:b/>
          <w:sz w:val="26"/>
          <w:szCs w:val="26"/>
        </w:rPr>
        <w:t>Финанс</w:t>
      </w:r>
      <w:r>
        <w:rPr>
          <w:b/>
          <w:sz w:val="26"/>
          <w:szCs w:val="26"/>
        </w:rPr>
        <w:t>и</w:t>
      </w:r>
      <w:r w:rsidR="007354F1" w:rsidRPr="00035041">
        <w:rPr>
          <w:b/>
          <w:sz w:val="26"/>
          <w:szCs w:val="26"/>
        </w:rPr>
        <w:t>“ в Община Борован</w:t>
      </w:r>
    </w:p>
    <w:p w14:paraId="6FE2AE7B" w14:textId="77777777" w:rsidR="00B83FB9" w:rsidRPr="00035041" w:rsidRDefault="00B83FB9" w:rsidP="00B83FB9">
      <w:pPr>
        <w:spacing w:after="114" w:line="240" w:lineRule="auto"/>
        <w:ind w:right="0" w:firstLine="0"/>
        <w:jc w:val="left"/>
        <w:rPr>
          <w:sz w:val="26"/>
          <w:szCs w:val="26"/>
        </w:rPr>
      </w:pPr>
      <w:r w:rsidRPr="00035041">
        <w:rPr>
          <w:sz w:val="26"/>
          <w:szCs w:val="26"/>
        </w:rPr>
        <w:t xml:space="preserve"> </w:t>
      </w:r>
    </w:p>
    <w:p w14:paraId="4861B3C3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Комисията одобри три различни варианта на тест. Всеки вариант на тест включва 25 затворени въпроса, всеки от които има само един верен отговор. За всеки верен отговор кандидатът получава по 1 (една) точка. Максималният брой точки е 25 (двадесет и пет) или 25 верни отговора. Минималният резултат, при който кандидатът се счита за успешно издържал теста, е 20 (двадесет) точки или 20 верни отговора. Всеки кандидат използва син химикал и отбелязва с „х” верния отговор, като няма право да поправя, дописва или изтрива вече избран отговор, както и да отбелязва повече от един отговор. В тези случаи ще се счита, че на съответния въпрос е отговорено невярно. Времето за решаване на теста е 1 (един) астрономически час.  </w:t>
      </w:r>
    </w:p>
    <w:p w14:paraId="673A1ABA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>Проверката на тестовете ще се извършва от Веселина Геормезовска – Главен юрисконсулт при Община Борован и член на назначената комисия, като същите ще бъдат подписвани от проверяващия.</w:t>
      </w:r>
    </w:p>
    <w:p w14:paraId="3B203813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>Комисията прие, че интервюто е с по-голяма относителна тежест, поради което</w:t>
      </w:r>
      <w:r w:rsidRPr="007A615D">
        <w:rPr>
          <w:b/>
          <w:sz w:val="26"/>
          <w:szCs w:val="26"/>
        </w:rPr>
        <w:t xml:space="preserve"> </w:t>
      </w:r>
      <w:r w:rsidRPr="007A615D">
        <w:rPr>
          <w:sz w:val="26"/>
          <w:szCs w:val="26"/>
        </w:rPr>
        <w:t xml:space="preserve">резултатите от теста ще се умножат с коефициент 4, а резултатите от интервюто ще се умножат с коефициент 5. </w:t>
      </w:r>
    </w:p>
    <w:p w14:paraId="5E13F6F5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Минималният резултат, при който кандидатът ще се счита за успешно издържал интервюто, е 32 точки.  </w:t>
      </w:r>
    </w:p>
    <w:p w14:paraId="3EF60ED6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Въз основа на отговорите на кандидата всеки член на конкурсната комисия вписва своята преценка във Формуляр за преценка на кандидати от интервю за експертни длъжности - Приложение № 5 към чл. 42, ал. 4 от НПКПМДС. </w:t>
      </w:r>
    </w:p>
    <w:p w14:paraId="00A40EEC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>Общият резултат, вписан във Формуляра за преценка на кандидати от интервю от всеки член на комисията, е сборът от оценките по отделните компетентности по 5-степенна скала.</w:t>
      </w:r>
    </w:p>
    <w:p w14:paraId="30DD2BC8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 с два знака след десетичната запетая. </w:t>
      </w:r>
    </w:p>
    <w:p w14:paraId="2FE56C67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При постигнат на интервюто резултат под минималния 32 кандидатът не формира окончателен резултат и не се класира. </w:t>
      </w:r>
    </w:p>
    <w:p w14:paraId="0F7C7B1C" w14:textId="77777777" w:rsidR="007A615D" w:rsidRPr="007A615D" w:rsidRDefault="007A615D" w:rsidP="007A615D">
      <w:pPr>
        <w:spacing w:before="240" w:line="240" w:lineRule="auto"/>
        <w:ind w:left="-15" w:right="-10"/>
        <w:rPr>
          <w:sz w:val="26"/>
          <w:szCs w:val="26"/>
        </w:rPr>
      </w:pPr>
      <w:r w:rsidRPr="007A615D">
        <w:rPr>
          <w:sz w:val="26"/>
          <w:szCs w:val="26"/>
        </w:rPr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p w14:paraId="769C37B0" w14:textId="13E80DAF" w:rsidR="005036A5" w:rsidRPr="00035041" w:rsidRDefault="005036A5" w:rsidP="007A615D">
      <w:pPr>
        <w:spacing w:before="240" w:line="240" w:lineRule="auto"/>
        <w:ind w:left="-15" w:right="-10"/>
        <w:rPr>
          <w:sz w:val="26"/>
          <w:szCs w:val="26"/>
        </w:rPr>
      </w:pPr>
    </w:p>
    <w:sectPr w:rsidR="005036A5" w:rsidRPr="00035041" w:rsidSect="00F245FF">
      <w:pgSz w:w="11904" w:h="16840"/>
      <w:pgMar w:top="709" w:right="127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0"/>
    <w:rsid w:val="00004432"/>
    <w:rsid w:val="00035041"/>
    <w:rsid w:val="00094AD6"/>
    <w:rsid w:val="00127EFD"/>
    <w:rsid w:val="00206C6E"/>
    <w:rsid w:val="002F2CE8"/>
    <w:rsid w:val="00362344"/>
    <w:rsid w:val="00413F0D"/>
    <w:rsid w:val="005036A5"/>
    <w:rsid w:val="006277F3"/>
    <w:rsid w:val="00666015"/>
    <w:rsid w:val="0071683F"/>
    <w:rsid w:val="007354F1"/>
    <w:rsid w:val="007369B6"/>
    <w:rsid w:val="007A615D"/>
    <w:rsid w:val="007C6B52"/>
    <w:rsid w:val="008332AE"/>
    <w:rsid w:val="00AB615F"/>
    <w:rsid w:val="00B62424"/>
    <w:rsid w:val="00B83FB9"/>
    <w:rsid w:val="00D20B26"/>
    <w:rsid w:val="00D52574"/>
    <w:rsid w:val="00DB6730"/>
    <w:rsid w:val="00EA421C"/>
    <w:rsid w:val="00E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58C"/>
  <w15:chartTrackingRefBased/>
  <w15:docId w15:val="{12C01F99-D823-4B9F-872D-AB32200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B9"/>
    <w:pPr>
      <w:spacing w:after="1" w:line="357" w:lineRule="auto"/>
      <w:ind w:right="2" w:firstLine="685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2024-06-21T06:12:00Z</dcterms:created>
  <dcterms:modified xsi:type="dcterms:W3CDTF">2024-06-21T06:12:00Z</dcterms:modified>
</cp:coreProperties>
</file>